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 xml:space="preserve">Pamela Ong in 759 </w:t>
      </w:r>
      <w:r w:rsidRPr="000F73C0">
        <w:rPr>
          <w:sz w:val="22"/>
          <w:szCs w:val="22"/>
        </w:rPr>
        <w:t>Davis Hall (</w:t>
      </w:r>
      <w:hyperlink r:id="rId8" w:history="1">
        <w:r w:rsidR="002D61F5">
          <w:rPr>
            <w:rStyle w:val="Hyperlink"/>
            <w:sz w:val="22"/>
            <w:szCs w:val="22"/>
          </w:rPr>
          <w:t>pong@ce.berkeley.edu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p>
    <w:p w:rsidR="002D36ED" w:rsidRPr="000F73C0" w:rsidRDefault="001B1107" w:rsidP="00B316BC">
      <w:pPr>
        <w:pStyle w:val="BodyText"/>
        <w:spacing w:after="283"/>
        <w:ind w:right="36"/>
        <w:rPr>
          <w:sz w:val="22"/>
          <w:szCs w:val="22"/>
        </w:rPr>
      </w:pPr>
      <w:r>
        <w:rPr>
          <w:sz w:val="22"/>
          <w:szCs w:val="22"/>
        </w:rPr>
        <w:t>A</w:t>
      </w:r>
      <w:r w:rsidR="0099348C">
        <w:rPr>
          <w:sz w:val="22"/>
          <w:szCs w:val="22"/>
        </w:rPr>
        <w:t xml:space="preserve">ppointments effective 7/1/2018 or later, the minimum monthly funding requirements will increase to $1,800/mo. for the scholar, plus an additional $500/mo. for a spouse and $300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2D61F5"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2D61F5"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3B558F" w:rsidP="000F73C0">
            <w:pPr>
              <w:pStyle w:val="TableContents"/>
              <w:spacing w:before="58"/>
              <w:rPr>
                <w:rFonts w:asciiTheme="majorHAnsi" w:hAnsiTheme="majorHAnsi"/>
                <w:b/>
                <w:sz w:val="20"/>
                <w:szCs w:val="20"/>
              </w:rPr>
            </w:pPr>
            <w:r>
              <w:rPr>
                <w:rFonts w:asciiTheme="majorHAnsi" w:hAnsiTheme="majorHAnsi"/>
                <w:b/>
                <w:sz w:val="20"/>
                <w:szCs w:val="20"/>
              </w:rPr>
              <w:t>$500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6E4D25" w:rsidP="000F73C0">
            <w:pPr>
              <w:pStyle w:val="TableContents"/>
              <w:spacing w:before="58"/>
              <w:rPr>
                <w:rFonts w:asciiTheme="majorHAnsi" w:hAnsiTheme="majorHAnsi"/>
                <w:b/>
                <w:sz w:val="20"/>
                <w:szCs w:val="20"/>
              </w:rPr>
            </w:pPr>
            <w:r>
              <w:rPr>
                <w:rFonts w:asciiTheme="majorHAnsi" w:hAnsiTheme="majorHAnsi"/>
                <w:b/>
                <w:sz w:val="20"/>
                <w:szCs w:val="20"/>
              </w:rPr>
              <w:t>$500 - Transfers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DD4DF4">
              <w:rPr>
                <w:rFonts w:asciiTheme="majorHAnsi" w:hAnsiTheme="majorHAnsi"/>
                <w:b/>
                <w:sz w:val="20"/>
                <w:szCs w:val="20"/>
              </w:rPr>
              <w:t xml:space="preserve"> – Extensions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2B5664">
              <w:rPr>
                <w:rFonts w:asciiTheme="majorHAnsi" w:hAnsiTheme="majorHAnsi"/>
                <w:b/>
                <w:sz w:val="20"/>
                <w:szCs w:val="20"/>
              </w:rPr>
              <w:t xml:space="preserve"> – Expedite</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10125633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2D61F5"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DD4DF4" w:rsidP="00DD4DF4">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66597371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bookmarkStart w:id="0" w:name="_GoBack"/>
      <w:bookmarkEnd w:id="0"/>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E6" w:rsidRDefault="00A520E6" w:rsidP="009B15AD">
      <w:pPr>
        <w:spacing w:before="0" w:after="0"/>
      </w:pPr>
      <w:r>
        <w:separator/>
      </w:r>
    </w:p>
  </w:endnote>
  <w:endnote w:type="continuationSeparator" w:id="0">
    <w:p w:rsidR="00A520E6" w:rsidRDefault="00A520E6"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E6" w:rsidRDefault="00A520E6" w:rsidP="009B15AD">
      <w:pPr>
        <w:spacing w:before="0" w:after="0"/>
      </w:pPr>
      <w:r>
        <w:separator/>
      </w:r>
    </w:p>
  </w:footnote>
  <w:footnote w:type="continuationSeparator" w:id="0">
    <w:p w:rsidR="00A520E6" w:rsidRDefault="00A520E6"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E6" w:rsidRPr="00345B46" w:rsidRDefault="00A520E6"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E2FB7"/>
    <w:rsid w:val="00611615"/>
    <w:rsid w:val="00634095"/>
    <w:rsid w:val="00635967"/>
    <w:rsid w:val="006423C0"/>
    <w:rsid w:val="006437FF"/>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2E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294E54"/>
    <w:rsid w:val="003027F7"/>
    <w:rsid w:val="003301CA"/>
    <w:rsid w:val="00340D47"/>
    <w:rsid w:val="003F0799"/>
    <w:rsid w:val="0045679F"/>
    <w:rsid w:val="005C2758"/>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54F8-ACC7-4081-8D3C-049C172B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7628</Characters>
  <Application>Microsoft Office Word</Application>
  <DocSecurity>0</DocSecurity>
  <Lines>331</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2019-07-31T18:30:00Z</dcterms:created>
  <dcterms:modified xsi:type="dcterms:W3CDTF">2020-07-31T16:30:00Z</dcterms:modified>
</cp:coreProperties>
</file>